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hint="eastAsia"/>
          <w:sz w:val="24"/>
          <w:szCs w:val="24"/>
        </w:rPr>
      </w:pPr>
      <w:bookmarkStart w:id="0" w:name="_GoBack"/>
      <w:bookmarkEnd w:id="0"/>
      <w:r>
        <w:rPr>
          <w:rFonts w:ascii="仿宋_GB2312" w:hAnsi="宋体" w:eastAsia="仿宋_GB2312" w:cs="仿宋_GB2312"/>
          <w:color w:val="000000"/>
          <w:sz w:val="32"/>
          <w:szCs w:val="32"/>
        </w:rPr>
        <w:t>“高校成果空间”技术成果转移转化网络平台简介</w:t>
      </w: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r>
        <w:rPr>
          <w:rFonts w:hint="eastAsia"/>
          <w:sz w:val="24"/>
          <w:szCs w:val="24"/>
        </w:rPr>
        <w:t>为提高高校技术转移转化工作信息化应用水平，促使高校科技成果更好的共享展示，省教育厅建设开发了“高校成果空间”技术成果转移转化网络平台，并将于6月下旬的“第九届陕西高等教育博览会暨第三届高校科技成果第五届陕西研究生创新成果展及校企对接洽谈会”正式发布。</w:t>
      </w:r>
    </w:p>
    <w:p>
      <w:pPr>
        <w:spacing w:line="360" w:lineRule="auto"/>
        <w:ind w:firstLine="480" w:firstLineChars="200"/>
        <w:rPr>
          <w:rFonts w:hint="eastAsia"/>
          <w:sz w:val="24"/>
          <w:szCs w:val="24"/>
        </w:rPr>
      </w:pPr>
      <w:r>
        <w:rPr>
          <w:rFonts w:hint="eastAsia"/>
          <w:sz w:val="24"/>
          <w:szCs w:val="24"/>
        </w:rPr>
        <w:t>“高校成果空间”目前分为PC版、微信公众号、微信小程序三个平台，囊括了“科技成果”“技术服务”“企业需求”“联盟成员”“知识产权”“支撑机构”“专家人才”“政策新闻”八个功能模块，为高校科技成果、专家人才与企业搭建了高效的线上对接平台，高校教师、学生可在该平台发布创新成果和知识产权等信息，企业可在平台发布需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340CC"/>
    <w:rsid w:val="0B2340CC"/>
    <w:rsid w:val="4E84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2019-06-13T12:30:00Z</dcterms:created>
  <dc:creator>gh</dc:creator>
  <cp:lastModifiedBy>gh</cp:lastModifiedBy>
  <dcterms:modified xsi:type="dcterms:W3CDTF">2019-06-13T12:42:19Z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