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8A" w:rsidRDefault="00B82109">
      <w:pPr>
        <w:pStyle w:val="a7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附件:</w:t>
      </w:r>
    </w:p>
    <w:p w:rsidR="003D358A" w:rsidRDefault="00B82109" w:rsidP="00A832E8">
      <w:pPr>
        <w:widowControl/>
        <w:spacing w:beforeLines="100" w:before="312" w:line="600" w:lineRule="exact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二级网站建设要求及优秀网站评选活动评分规则</w:t>
      </w:r>
    </w:p>
    <w:p w:rsidR="003D358A" w:rsidRDefault="00B82109" w:rsidP="00A832E8">
      <w:pPr>
        <w:widowControl/>
        <w:spacing w:beforeLines="100" w:before="312" w:line="600" w:lineRule="exact"/>
        <w:ind w:firstLineChars="200" w:firstLine="643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/>
          <w:bCs/>
          <w:kern w:val="0"/>
          <w:sz w:val="32"/>
          <w:szCs w:val="32"/>
        </w:rPr>
        <w:t>一、总体要求</w:t>
      </w:r>
    </w:p>
    <w:p w:rsidR="003D358A" w:rsidRDefault="00B82109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Cs/>
          <w:kern w:val="0"/>
          <w:sz w:val="32"/>
          <w:szCs w:val="32"/>
        </w:rPr>
        <w:t>（一）各二级</w:t>
      </w:r>
      <w:r w:rsidR="002B5F30">
        <w:rPr>
          <w:rFonts w:ascii="仿宋_GB2312" w:eastAsia="仿宋_GB2312" w:hAnsiTheme="minorEastAsia" w:cs="宋体" w:hint="eastAsia"/>
          <w:bCs/>
          <w:kern w:val="0"/>
          <w:sz w:val="32"/>
          <w:szCs w:val="32"/>
        </w:rPr>
        <w:t>单位</w:t>
      </w:r>
      <w:bookmarkStart w:id="0" w:name="_GoBack"/>
      <w:bookmarkEnd w:id="0"/>
      <w:r>
        <w:rPr>
          <w:rFonts w:ascii="仿宋_GB2312" w:eastAsia="仿宋_GB2312" w:hAnsiTheme="minorEastAsia" w:cs="宋体" w:hint="eastAsia"/>
          <w:bCs/>
          <w:kern w:val="0"/>
          <w:sz w:val="32"/>
          <w:szCs w:val="32"/>
        </w:rPr>
        <w:t>网站应做到主题鲜明，体现学校和本单位的特色，内容健康，符合网络意识形态安全和正确舆论导向的要求，遵守互联网新闻信息服务等法律法规，遵守学校各项规章制度，尊重互联网传播规律。</w:t>
      </w:r>
    </w:p>
    <w:p w:rsidR="003D358A" w:rsidRDefault="00B82109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（二）结合网站定位，认真分析网站用户需求，根据本单位的信息提供能力和实际管理能力规划栏目和信息分类。</w:t>
      </w:r>
    </w:p>
    <w:p w:rsidR="003D358A" w:rsidRDefault="00B82109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（三）界面设计美观大气、符合视觉识别设计要求。</w:t>
      </w:r>
    </w:p>
    <w:p w:rsidR="003D358A" w:rsidRDefault="00B82109">
      <w:pPr>
        <w:widowControl/>
        <w:spacing w:line="600" w:lineRule="exact"/>
        <w:ind w:firstLineChars="200" w:firstLine="640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（四）首页栏目内容应做到定期更新。网站用户需求较低、更新频率较慢的栏目应放入网站导航，不得在首页上直接显示，避免首页栏目过多、栏目内容陈旧等问题的出现。</w:t>
      </w:r>
    </w:p>
    <w:p w:rsidR="003D358A" w:rsidRDefault="00B82109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（五）网站须设网站管理员，由网站管理员负责网站日常管理、信息发布更新和网站内容安全等工作。在学校主页发布新闻等需经过党委宣传部审核批准，发布通知公告等需经过本单位领导审核批准。</w:t>
      </w:r>
    </w:p>
    <w:p w:rsidR="003D358A" w:rsidRDefault="00B82109" w:rsidP="00A832E8">
      <w:pPr>
        <w:widowControl/>
        <w:spacing w:line="6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二、优秀网站评选活动评分规则</w:t>
      </w:r>
    </w:p>
    <w:p w:rsidR="003D358A" w:rsidRDefault="00B82109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西安石油大学优秀网站评选活动评分规则如下表所示，各二级单位在网站建设工作中</w:t>
      </w:r>
      <w:r>
        <w:rPr>
          <w:rFonts w:ascii="仿宋_GB2312" w:eastAsia="仿宋_GB2312" w:hint="eastAsia"/>
          <w:sz w:val="32"/>
          <w:szCs w:val="32"/>
        </w:rPr>
        <w:t>，可以参照表中所列各项内容进行调整和改进。</w:t>
      </w:r>
    </w:p>
    <w:p w:rsidR="003D358A" w:rsidRDefault="003D358A">
      <w:pPr>
        <w:widowControl/>
        <w:jc w:val="left"/>
        <w:rPr>
          <w:color w:val="000000"/>
          <w:sz w:val="28"/>
          <w:szCs w:val="28"/>
        </w:rPr>
      </w:pPr>
    </w:p>
    <w:p w:rsidR="003D358A" w:rsidRDefault="00B82109">
      <w:pPr>
        <w:widowControl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3D358A" w:rsidRDefault="00B82109">
      <w:pPr>
        <w:widowControl/>
        <w:tabs>
          <w:tab w:val="left" w:pos="840"/>
        </w:tabs>
        <w:jc w:val="center"/>
        <w:rPr>
          <w:rFonts w:ascii="华文中宋" w:eastAsia="华文中宋" w:hAnsi="华文中宋"/>
          <w:color w:val="000000"/>
          <w:sz w:val="44"/>
          <w:szCs w:val="28"/>
        </w:rPr>
      </w:pPr>
      <w:r>
        <w:rPr>
          <w:rFonts w:ascii="华文中宋" w:eastAsia="华文中宋" w:hAnsi="华文中宋"/>
          <w:color w:val="000000"/>
          <w:sz w:val="44"/>
          <w:szCs w:val="28"/>
        </w:rPr>
        <w:lastRenderedPageBreak/>
        <w:t>西安</w:t>
      </w:r>
      <w:r>
        <w:rPr>
          <w:rFonts w:ascii="华文中宋" w:eastAsia="华文中宋" w:hAnsi="华文中宋" w:hint="eastAsia"/>
          <w:color w:val="000000"/>
          <w:sz w:val="44"/>
          <w:szCs w:val="28"/>
        </w:rPr>
        <w:t>石油</w:t>
      </w:r>
      <w:r>
        <w:rPr>
          <w:rFonts w:ascii="华文中宋" w:eastAsia="华文中宋" w:hAnsi="华文中宋"/>
          <w:color w:val="000000"/>
          <w:sz w:val="44"/>
          <w:szCs w:val="28"/>
        </w:rPr>
        <w:t>大学</w:t>
      </w:r>
      <w:r>
        <w:rPr>
          <w:rFonts w:ascii="华文中宋" w:eastAsia="华文中宋" w:hAnsi="华文中宋" w:hint="eastAsia"/>
          <w:color w:val="000000"/>
          <w:sz w:val="44"/>
          <w:szCs w:val="28"/>
        </w:rPr>
        <w:t>优秀</w:t>
      </w:r>
      <w:r>
        <w:rPr>
          <w:rFonts w:ascii="华文中宋" w:eastAsia="华文中宋" w:hAnsi="华文中宋"/>
          <w:color w:val="000000"/>
          <w:sz w:val="44"/>
          <w:szCs w:val="28"/>
        </w:rPr>
        <w:t>网站评</w:t>
      </w:r>
      <w:r>
        <w:rPr>
          <w:rFonts w:ascii="华文中宋" w:eastAsia="华文中宋" w:hAnsi="华文中宋" w:hint="eastAsia"/>
          <w:color w:val="000000"/>
          <w:sz w:val="44"/>
          <w:szCs w:val="28"/>
        </w:rPr>
        <w:t>选活动</w:t>
      </w:r>
      <w:r>
        <w:rPr>
          <w:rFonts w:ascii="华文中宋" w:eastAsia="华文中宋" w:hAnsi="华文中宋"/>
          <w:color w:val="000000"/>
          <w:sz w:val="44"/>
          <w:szCs w:val="28"/>
        </w:rPr>
        <w:t>评分</w:t>
      </w:r>
      <w:r>
        <w:rPr>
          <w:rFonts w:ascii="华文中宋" w:eastAsia="华文中宋" w:hAnsi="华文中宋" w:hint="eastAsia"/>
          <w:color w:val="000000"/>
          <w:sz w:val="44"/>
          <w:szCs w:val="28"/>
        </w:rPr>
        <w:t>规则</w:t>
      </w: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317"/>
        <w:gridCol w:w="5719"/>
        <w:gridCol w:w="555"/>
      </w:tblGrid>
      <w:tr w:rsidR="003D358A">
        <w:trPr>
          <w:trHeight w:val="495"/>
          <w:tblHeader/>
          <w:jc w:val="center"/>
        </w:trPr>
        <w:tc>
          <w:tcPr>
            <w:tcW w:w="1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color w:val="444444"/>
                <w:kern w:val="0"/>
                <w:szCs w:val="21"/>
                <w:lang w:bidi="ar"/>
              </w:rPr>
              <w:t>项目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  <w:tc>
          <w:tcPr>
            <w:tcW w:w="7036" w:type="dxa"/>
            <w:gridSpan w:val="2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color w:val="444444"/>
                <w:kern w:val="0"/>
                <w:szCs w:val="21"/>
                <w:lang w:bidi="ar"/>
              </w:rPr>
              <w:t>标准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  <w:tc>
          <w:tcPr>
            <w:tcW w:w="555" w:type="dxa"/>
            <w:tcBorders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color w:val="444444"/>
                <w:kern w:val="0"/>
                <w:szCs w:val="21"/>
                <w:lang w:bidi="ar"/>
              </w:rPr>
              <w:t>分值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  <w:tr w:rsidR="003D358A">
        <w:trPr>
          <w:trHeight w:val="372"/>
          <w:jc w:val="center"/>
        </w:trPr>
        <w:tc>
          <w:tcPr>
            <w:tcW w:w="1566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>内容建设</w:t>
            </w:r>
          </w:p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30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444444"/>
                <w:kern w:val="0"/>
                <w:szCs w:val="21"/>
                <w:lang w:bidi="ar"/>
              </w:rPr>
              <w:t>内容设计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包括网站名称、标识、导航、内容、版权等基本信息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>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3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  <w:tr w:rsidR="003D358A">
        <w:trPr>
          <w:trHeight w:val="342"/>
          <w:jc w:val="center"/>
        </w:trPr>
        <w:tc>
          <w:tcPr>
            <w:tcW w:w="156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合理规划栏目和信息分类，能够反映本部门工作全貌。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3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  <w:tr w:rsidR="003D358A">
        <w:trPr>
          <w:trHeight w:val="308"/>
          <w:jc w:val="center"/>
        </w:trPr>
        <w:tc>
          <w:tcPr>
            <w:tcW w:w="156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 xml:space="preserve">信息资源种类丰富，信息量大，开放信息多。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4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  <w:tr w:rsidR="003D358A">
        <w:trPr>
          <w:trHeight w:val="409"/>
          <w:jc w:val="center"/>
        </w:trPr>
        <w:tc>
          <w:tcPr>
            <w:tcW w:w="156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功能设计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导航清晰，便于使用。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  <w:tr w:rsidR="003D358A">
        <w:trPr>
          <w:trHeight w:val="308"/>
          <w:jc w:val="center"/>
        </w:trPr>
        <w:tc>
          <w:tcPr>
            <w:tcW w:w="156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信息检索方便。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  <w:tr w:rsidR="003D358A">
        <w:trPr>
          <w:trHeight w:val="358"/>
          <w:jc w:val="center"/>
        </w:trPr>
        <w:tc>
          <w:tcPr>
            <w:tcW w:w="156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网站之间链接有效，实用，可通过链接访问学校首页。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3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  <w:tr w:rsidR="003D358A">
        <w:trPr>
          <w:trHeight w:val="408"/>
          <w:jc w:val="center"/>
        </w:trPr>
        <w:tc>
          <w:tcPr>
            <w:tcW w:w="156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页面设计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首页和栏目页的风格一致，版面设计美观、大方、清新 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  <w:tr w:rsidR="003D358A">
        <w:trPr>
          <w:trHeight w:val="716"/>
          <w:jc w:val="center"/>
        </w:trPr>
        <w:tc>
          <w:tcPr>
            <w:tcW w:w="156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运用动画、视频、图片等多种手段增进网站美感，富有时代气息和文化内涵，充分代表和展现了校园网站建设水平和质量。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  <w:tr w:rsidR="003D358A">
        <w:trPr>
          <w:trHeight w:val="585"/>
          <w:jc w:val="center"/>
        </w:trPr>
        <w:tc>
          <w:tcPr>
            <w:tcW w:w="15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信息发布</w:t>
            </w:r>
          </w:p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25分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更新及时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信息发布常态化、及时化、有效化（例如，政策文件须是最新有效且正在执行的)、避免僵尸网站。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8分</w:t>
            </w:r>
          </w:p>
        </w:tc>
      </w:tr>
      <w:tr w:rsidR="003D358A">
        <w:trPr>
          <w:trHeight w:val="495"/>
          <w:jc w:val="center"/>
        </w:trPr>
        <w:tc>
          <w:tcPr>
            <w:tcW w:w="15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内容规范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确保发布内容的质量和思想内涵，弘扬主旋律，传播正能量。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4分</w:t>
            </w:r>
          </w:p>
        </w:tc>
      </w:tr>
      <w:tr w:rsidR="003D358A">
        <w:trPr>
          <w:trHeight w:val="495"/>
          <w:jc w:val="center"/>
        </w:trPr>
        <w:tc>
          <w:tcPr>
            <w:tcW w:w="15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内容的发布必须遵守有关法律法规，确保发布内容的政治安全，禁止发布涉密信息或敏感信息（如身份证号码、工号、学号等）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4分</w:t>
            </w:r>
          </w:p>
        </w:tc>
      </w:tr>
      <w:tr w:rsidR="003D358A">
        <w:trPr>
          <w:trHeight w:val="569"/>
          <w:jc w:val="center"/>
        </w:trPr>
        <w:tc>
          <w:tcPr>
            <w:tcW w:w="15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格式符合规范，没有文法、语法错误，没有错别字，图片内容清晰、健康。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4分</w:t>
            </w:r>
          </w:p>
        </w:tc>
      </w:tr>
      <w:tr w:rsidR="003D358A">
        <w:trPr>
          <w:trHeight w:val="1083"/>
          <w:jc w:val="center"/>
        </w:trPr>
        <w:tc>
          <w:tcPr>
            <w:tcW w:w="1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数据统一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各网站所引用的数据必须真实统一，所用的名称、地址必须采用规范用法，引用学校基本情况方面的数据、表述、风格和宣传口径，必须与学校主页、本科招生网站、学生工作处网站等内容保持一致。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5分</w:t>
            </w:r>
          </w:p>
        </w:tc>
      </w:tr>
      <w:tr w:rsidR="003D358A">
        <w:trPr>
          <w:trHeight w:val="296"/>
          <w:jc w:val="center"/>
        </w:trPr>
        <w:tc>
          <w:tcPr>
            <w:tcW w:w="1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安全防范</w:t>
            </w:r>
          </w:p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15分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漏洞防范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网站运行稳定，无重大安全漏洞。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6分</w:t>
            </w:r>
          </w:p>
        </w:tc>
      </w:tr>
      <w:tr w:rsidR="003D358A">
        <w:trPr>
          <w:trHeight w:val="482"/>
          <w:jc w:val="center"/>
        </w:trPr>
        <w:tc>
          <w:tcPr>
            <w:tcW w:w="1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账户管理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定期更换密码，无弱密码。定期对管理网站使用的电脑查毒、杀毒、清理恶意软件。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5分</w:t>
            </w:r>
          </w:p>
        </w:tc>
      </w:tr>
      <w:tr w:rsidR="003D358A">
        <w:trPr>
          <w:trHeight w:val="389"/>
          <w:jc w:val="center"/>
        </w:trPr>
        <w:tc>
          <w:tcPr>
            <w:tcW w:w="1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应急响应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有完善的网站应急响应机制，能应对突发的网站安全事件。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4分</w:t>
            </w:r>
          </w:p>
        </w:tc>
      </w:tr>
      <w:tr w:rsidR="003D358A">
        <w:trPr>
          <w:trHeight w:val="504"/>
          <w:jc w:val="center"/>
        </w:trPr>
        <w:tc>
          <w:tcPr>
            <w:tcW w:w="1566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运行管理</w:t>
            </w:r>
          </w:p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15分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管理机制</w:t>
            </w:r>
          </w:p>
        </w:tc>
        <w:tc>
          <w:tcPr>
            <w:tcW w:w="57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tabs>
                <w:tab w:val="left" w:pos="840"/>
              </w:tabs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管理机制完善，领导分管明确，重要信息的发布与更新有审核机制。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5分</w:t>
            </w:r>
          </w:p>
        </w:tc>
      </w:tr>
      <w:tr w:rsidR="003D358A">
        <w:trPr>
          <w:trHeight w:val="307"/>
          <w:jc w:val="center"/>
        </w:trPr>
        <w:tc>
          <w:tcPr>
            <w:tcW w:w="1566" w:type="dxa"/>
            <w:vMerge/>
            <w:tcBorders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444444"/>
                <w:szCs w:val="21"/>
              </w:rPr>
              <w:t>工作效果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管理员工作认真负责、责任心强、成绩突出。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5分</w:t>
            </w:r>
          </w:p>
        </w:tc>
      </w:tr>
      <w:tr w:rsidR="003D358A">
        <w:trPr>
          <w:trHeight w:val="426"/>
          <w:jc w:val="center"/>
        </w:trPr>
        <w:tc>
          <w:tcPr>
            <w:tcW w:w="1566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jc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网站备案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网站及时登记备案；当管理人员变更后，能及时通知网管中心更新备案。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5分</w:t>
            </w:r>
          </w:p>
        </w:tc>
      </w:tr>
      <w:tr w:rsidR="003D358A">
        <w:trPr>
          <w:trHeight w:val="152"/>
          <w:jc w:val="center"/>
        </w:trPr>
        <w:tc>
          <w:tcPr>
            <w:tcW w:w="1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应用效果</w:t>
            </w:r>
          </w:p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10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浏览量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访问量合理，符合网站类型和开放范围 。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5分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  <w:tr w:rsidR="003D358A">
        <w:trPr>
          <w:trHeight w:val="545"/>
          <w:jc w:val="center"/>
        </w:trPr>
        <w:tc>
          <w:tcPr>
            <w:tcW w:w="1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3D358A">
            <w:pPr>
              <w:jc w:val="center"/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服务师生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本着服务师生，开发有一些实用功能，如“学生通知”、“办事指南”、“常见问题”等。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5分 </w:t>
            </w:r>
          </w:p>
        </w:tc>
      </w:tr>
      <w:tr w:rsidR="003D358A">
        <w:trPr>
          <w:trHeight w:val="392"/>
          <w:jc w:val="center"/>
        </w:trPr>
        <w:tc>
          <w:tcPr>
            <w:tcW w:w="1566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项目特色</w:t>
            </w:r>
          </w:p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5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特色栏目</w:t>
            </w:r>
          </w:p>
        </w:tc>
        <w:tc>
          <w:tcPr>
            <w:tcW w:w="57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突出网站的主题，提供实用的信息 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  <w:tr w:rsidR="003D358A">
        <w:trPr>
          <w:trHeight w:val="306"/>
          <w:jc w:val="center"/>
        </w:trPr>
        <w:tc>
          <w:tcPr>
            <w:tcW w:w="156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D358A" w:rsidRDefault="003D358A">
            <w:pPr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特色应用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具有支撑教学、科研、招生、就业或管理水平的特色应用。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  <w:tr w:rsidR="003D358A">
        <w:trPr>
          <w:trHeight w:val="507"/>
          <w:jc w:val="center"/>
        </w:trPr>
        <w:tc>
          <w:tcPr>
            <w:tcW w:w="1566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D358A" w:rsidRDefault="003D358A">
            <w:pPr>
              <w:rPr>
                <w:rFonts w:ascii="仿宋_GB2312" w:eastAsia="仿宋_GB2312" w:hAnsi="宋体" w:cs="宋体"/>
                <w:color w:val="444444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特色管理</w:t>
            </w:r>
          </w:p>
        </w:tc>
        <w:tc>
          <w:tcPr>
            <w:tcW w:w="5719" w:type="dxa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left"/>
              <w:textAlignment w:val="center"/>
              <w:rPr>
                <w:rFonts w:ascii="仿宋_GB2312" w:eastAsia="仿宋_GB2312" w:hAnsi="Calibri" w:cs="Times New Roman"/>
                <w:color w:val="444444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可以提高网站管理水平。</w:t>
            </w:r>
          </w:p>
        </w:tc>
        <w:tc>
          <w:tcPr>
            <w:tcW w:w="555" w:type="dxa"/>
            <w:tcBorders>
              <w:top w:val="nil"/>
              <w:lef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58A" w:rsidRDefault="00B82109">
            <w:pPr>
              <w:widowControl/>
              <w:spacing w:line="23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444444"/>
                <w:kern w:val="0"/>
                <w:szCs w:val="21"/>
                <w:lang w:bidi="ar"/>
              </w:rPr>
              <w:t>1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Cs w:val="21"/>
                <w:lang w:bidi="ar"/>
              </w:rPr>
              <w:t>分</w:t>
            </w:r>
            <w:r>
              <w:rPr>
                <w:rFonts w:ascii="仿宋_GB2312" w:eastAsia="仿宋_GB2312" w:hAnsi="Calibri" w:cs="Times New Roman" w:hint="eastAsia"/>
                <w:color w:val="444444"/>
                <w:kern w:val="1"/>
                <w:szCs w:val="21"/>
                <w:lang w:bidi="ar"/>
              </w:rPr>
              <w:t xml:space="preserve"> </w:t>
            </w:r>
          </w:p>
        </w:tc>
      </w:tr>
    </w:tbl>
    <w:p w:rsidR="003D358A" w:rsidRDefault="003D358A">
      <w:pPr>
        <w:widowControl/>
        <w:tabs>
          <w:tab w:val="left" w:pos="840"/>
        </w:tabs>
        <w:rPr>
          <w:color w:val="000000"/>
          <w:sz w:val="28"/>
          <w:szCs w:val="28"/>
        </w:rPr>
      </w:pPr>
    </w:p>
    <w:sectPr w:rsidR="003D358A">
      <w:footerReference w:type="default" r:id="rId7"/>
      <w:pgSz w:w="11906" w:h="16838"/>
      <w:pgMar w:top="881" w:right="1066" w:bottom="637" w:left="118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3C" w:rsidRDefault="00BD693C">
      <w:r>
        <w:separator/>
      </w:r>
    </w:p>
  </w:endnote>
  <w:endnote w:type="continuationSeparator" w:id="0">
    <w:p w:rsidR="00BD693C" w:rsidRDefault="00BD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84743"/>
      <w:docPartObj>
        <w:docPartGallery w:val="AutoText"/>
      </w:docPartObj>
    </w:sdtPr>
    <w:sdtEndPr/>
    <w:sdtContent>
      <w:p w:rsidR="003D358A" w:rsidRDefault="00B821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F30" w:rsidRPr="002B5F30">
          <w:rPr>
            <w:noProof/>
            <w:lang w:val="zh-CN"/>
          </w:rPr>
          <w:t>1</w:t>
        </w:r>
        <w:r>
          <w:fldChar w:fldCharType="end"/>
        </w:r>
      </w:p>
    </w:sdtContent>
  </w:sdt>
  <w:p w:rsidR="003D358A" w:rsidRDefault="003D35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3C" w:rsidRDefault="00BD693C">
      <w:r>
        <w:separator/>
      </w:r>
    </w:p>
  </w:footnote>
  <w:footnote w:type="continuationSeparator" w:id="0">
    <w:p w:rsidR="00BD693C" w:rsidRDefault="00BD6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A175D"/>
    <w:rsid w:val="000129EB"/>
    <w:rsid w:val="00033A69"/>
    <w:rsid w:val="001624C0"/>
    <w:rsid w:val="00210A68"/>
    <w:rsid w:val="00215CEC"/>
    <w:rsid w:val="00287C65"/>
    <w:rsid w:val="002B5F30"/>
    <w:rsid w:val="00386D47"/>
    <w:rsid w:val="003D13A6"/>
    <w:rsid w:val="003D358A"/>
    <w:rsid w:val="003D368E"/>
    <w:rsid w:val="004714AB"/>
    <w:rsid w:val="004B1182"/>
    <w:rsid w:val="004F6F92"/>
    <w:rsid w:val="00514DFC"/>
    <w:rsid w:val="00534386"/>
    <w:rsid w:val="005662E7"/>
    <w:rsid w:val="00587CCB"/>
    <w:rsid w:val="00620E2D"/>
    <w:rsid w:val="0063381A"/>
    <w:rsid w:val="006C6AB4"/>
    <w:rsid w:val="006E7DC4"/>
    <w:rsid w:val="007319BD"/>
    <w:rsid w:val="008064E2"/>
    <w:rsid w:val="00891F07"/>
    <w:rsid w:val="008D744B"/>
    <w:rsid w:val="008E174E"/>
    <w:rsid w:val="00984C77"/>
    <w:rsid w:val="009E5AF5"/>
    <w:rsid w:val="00A04C4A"/>
    <w:rsid w:val="00A2468C"/>
    <w:rsid w:val="00A832E8"/>
    <w:rsid w:val="00AA331E"/>
    <w:rsid w:val="00AD12F5"/>
    <w:rsid w:val="00B3113F"/>
    <w:rsid w:val="00B65EA2"/>
    <w:rsid w:val="00B82109"/>
    <w:rsid w:val="00BD693C"/>
    <w:rsid w:val="00C24B1F"/>
    <w:rsid w:val="00DB083D"/>
    <w:rsid w:val="00DC124D"/>
    <w:rsid w:val="00EA4232"/>
    <w:rsid w:val="00ED0C53"/>
    <w:rsid w:val="00EE02FF"/>
    <w:rsid w:val="00EF74E6"/>
    <w:rsid w:val="00F450C1"/>
    <w:rsid w:val="01150474"/>
    <w:rsid w:val="057C471B"/>
    <w:rsid w:val="08992166"/>
    <w:rsid w:val="1220123A"/>
    <w:rsid w:val="12C476F1"/>
    <w:rsid w:val="152970D2"/>
    <w:rsid w:val="1561274C"/>
    <w:rsid w:val="1CD6245D"/>
    <w:rsid w:val="1D5523E9"/>
    <w:rsid w:val="1D5819F6"/>
    <w:rsid w:val="1E375960"/>
    <w:rsid w:val="1F1C4F90"/>
    <w:rsid w:val="22380C54"/>
    <w:rsid w:val="22EE72F4"/>
    <w:rsid w:val="24A86313"/>
    <w:rsid w:val="289F54F0"/>
    <w:rsid w:val="29AE43CC"/>
    <w:rsid w:val="2A0A175D"/>
    <w:rsid w:val="2C404A52"/>
    <w:rsid w:val="2D274EB2"/>
    <w:rsid w:val="2E7027D5"/>
    <w:rsid w:val="30CE2340"/>
    <w:rsid w:val="32BA5613"/>
    <w:rsid w:val="357A3B4A"/>
    <w:rsid w:val="3B171045"/>
    <w:rsid w:val="3DC50CEC"/>
    <w:rsid w:val="40FE0B7D"/>
    <w:rsid w:val="48BB668E"/>
    <w:rsid w:val="4AAC67FE"/>
    <w:rsid w:val="4ADF1F65"/>
    <w:rsid w:val="4FF5210E"/>
    <w:rsid w:val="53D2258B"/>
    <w:rsid w:val="56081E2D"/>
    <w:rsid w:val="59813944"/>
    <w:rsid w:val="59C73838"/>
    <w:rsid w:val="5B293700"/>
    <w:rsid w:val="5B9F4894"/>
    <w:rsid w:val="5C072E4F"/>
    <w:rsid w:val="5D5C6C67"/>
    <w:rsid w:val="60E8018A"/>
    <w:rsid w:val="61045DBB"/>
    <w:rsid w:val="62947018"/>
    <w:rsid w:val="634417DB"/>
    <w:rsid w:val="66977C9B"/>
    <w:rsid w:val="6CC842FB"/>
    <w:rsid w:val="6D5D0FF6"/>
    <w:rsid w:val="6D896BD5"/>
    <w:rsid w:val="6E9F0409"/>
    <w:rsid w:val="6EC43DC8"/>
    <w:rsid w:val="6FCC3EAE"/>
    <w:rsid w:val="6FDF2FD8"/>
    <w:rsid w:val="713C01D4"/>
    <w:rsid w:val="744D5062"/>
    <w:rsid w:val="762C0E01"/>
    <w:rsid w:val="766C23A5"/>
    <w:rsid w:val="7A7C4347"/>
    <w:rsid w:val="7D153D9A"/>
    <w:rsid w:val="7E0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5B34A7-2093-47F6-8190-D4A07EF4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rPr>
      <w:color w:val="333333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color w:val="333333"/>
      <w:u w:val="none"/>
    </w:rPr>
  </w:style>
  <w:style w:type="character" w:styleId="HTML">
    <w:name w:val="HTML Cite"/>
    <w:basedOn w:val="a0"/>
  </w:style>
  <w:style w:type="character" w:customStyle="1" w:styleId="jh">
    <w:name w:val="jh"/>
    <w:basedOn w:val="a0"/>
    <w:rPr>
      <w:shd w:val="clear" w:color="auto" w:fill="49ACD5"/>
    </w:rPr>
  </w:style>
  <w:style w:type="character" w:customStyle="1" w:styleId="tj">
    <w:name w:val="tj"/>
    <w:basedOn w:val="a0"/>
    <w:rPr>
      <w:shd w:val="clear" w:color="auto" w:fill="EBAE00"/>
    </w:rPr>
  </w:style>
  <w:style w:type="character" w:customStyle="1" w:styleId="vip">
    <w:name w:val="vip"/>
    <w:basedOn w:val="a0"/>
    <w:rPr>
      <w:shd w:val="clear" w:color="auto" w:fill="EE0003"/>
    </w:rPr>
  </w:style>
  <w:style w:type="character" w:customStyle="1" w:styleId="hot">
    <w:name w:val="hot"/>
    <w:basedOn w:val="a0"/>
    <w:rPr>
      <w:shd w:val="clear" w:color="auto" w:fill="EF4545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ac"/>
    <w:semiHidden/>
    <w:unhideWhenUsed/>
    <w:rsid w:val="00A832E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A832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221</Words>
  <Characters>1264</Characters>
  <Application>Microsoft Office Word</Application>
  <DocSecurity>0</DocSecurity>
  <Lines>10</Lines>
  <Paragraphs>2</Paragraphs>
  <ScaleCrop>false</ScaleCrop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ameng</dc:creator>
  <cp:lastModifiedBy>楚良海</cp:lastModifiedBy>
  <cp:revision>30</cp:revision>
  <cp:lastPrinted>2019-06-21T08:38:00Z</cp:lastPrinted>
  <dcterms:created xsi:type="dcterms:W3CDTF">2019-06-21T00:36:00Z</dcterms:created>
  <dcterms:modified xsi:type="dcterms:W3CDTF">2019-06-21T12:23:00Z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